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5B" w:rsidRPr="001E1C5B" w:rsidRDefault="001E1C5B" w:rsidP="005121A4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1E1C5B">
        <w:rPr>
          <w:rFonts w:ascii="Arial" w:hAnsi="Arial" w:cs="Arial"/>
          <w:b/>
          <w:sz w:val="20"/>
          <w:szCs w:val="20"/>
          <w:lang w:val="en-US"/>
        </w:rPr>
        <w:t>MIC: Annual General Mandate</w:t>
      </w:r>
    </w:p>
    <w:p w:rsidR="00CE390D" w:rsidRPr="005121A4" w:rsidRDefault="002A2F3D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On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April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27, 2017, Quang Nam Mineral </w:t>
      </w:r>
      <w:r w:rsidR="001E1C5B">
        <w:rPr>
          <w:rFonts w:ascii="Arial" w:hAnsi="Arial" w:cs="Arial"/>
          <w:sz w:val="20"/>
          <w:szCs w:val="20"/>
          <w:lang w:val="en-US"/>
        </w:rPr>
        <w:t xml:space="preserve">Industry Corporation announced the </w:t>
      </w:r>
      <w:r w:rsidR="001E1C5B" w:rsidRPr="001E1C5B">
        <w:rPr>
          <w:rFonts w:ascii="Arial" w:hAnsi="Arial" w:cs="Arial"/>
          <w:sz w:val="20"/>
          <w:szCs w:val="20"/>
          <w:lang w:val="en-US"/>
        </w:rPr>
        <w:t>Annual General Mandate</w:t>
      </w:r>
      <w:r w:rsidR="001E1C5B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6009D1" w:rsidRPr="005121A4" w:rsidRDefault="006009D1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25598">
        <w:rPr>
          <w:rFonts w:ascii="Arial" w:hAnsi="Arial" w:cs="Arial"/>
          <w:b/>
          <w:sz w:val="20"/>
          <w:szCs w:val="20"/>
          <w:lang w:val="en-US"/>
        </w:rPr>
        <w:t>Article 1.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To approve result of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dismissal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and election of members of Board of Directors of the company under the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Submission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no. 02/TTr-HDQT dated April 27, 2017 of Board of Directors of the company for the term 2013 – 2018 with the votes of approval of 100% of total shares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attending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the meeting. </w:t>
      </w:r>
    </w:p>
    <w:p w:rsidR="008A6186" w:rsidRPr="005121A4" w:rsidRDefault="008A6186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25598">
        <w:rPr>
          <w:rFonts w:ascii="Arial" w:hAnsi="Arial" w:cs="Arial"/>
          <w:b/>
          <w:sz w:val="20"/>
          <w:szCs w:val="20"/>
          <w:lang w:val="en-US"/>
        </w:rPr>
        <w:t>Article 2.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To approve report on production and business result in </w:t>
      </w:r>
      <w:r w:rsidR="00771A1B" w:rsidRPr="005121A4">
        <w:rPr>
          <w:rFonts w:ascii="Arial" w:hAnsi="Arial" w:cs="Arial"/>
          <w:sz w:val="20"/>
          <w:szCs w:val="20"/>
          <w:lang w:val="en-US"/>
        </w:rPr>
        <w:t xml:space="preserve">2016 (audited) and production and business plan in </w:t>
      </w:r>
      <w:r w:rsidR="00BE570E" w:rsidRPr="005121A4">
        <w:rPr>
          <w:rFonts w:ascii="Arial" w:hAnsi="Arial" w:cs="Arial"/>
          <w:sz w:val="20"/>
          <w:szCs w:val="20"/>
          <w:lang w:val="en-US"/>
        </w:rPr>
        <w:t xml:space="preserve">2017 of Quang Nam Mineral Industry Corporation with the votes of approval of 100% of total shares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attending</w:t>
      </w:r>
      <w:r w:rsidR="00BE570E" w:rsidRPr="005121A4">
        <w:rPr>
          <w:rFonts w:ascii="Arial" w:hAnsi="Arial" w:cs="Arial"/>
          <w:sz w:val="20"/>
          <w:szCs w:val="20"/>
          <w:lang w:val="en-US"/>
        </w:rPr>
        <w:t xml:space="preserve"> the meeting, including: </w:t>
      </w:r>
    </w:p>
    <w:p w:rsidR="00BE570E" w:rsidRPr="00F25598" w:rsidRDefault="00BE570E" w:rsidP="00F25598">
      <w:pPr>
        <w:spacing w:before="120" w:after="120"/>
        <w:jc w:val="right"/>
        <w:rPr>
          <w:rFonts w:ascii="Arial" w:hAnsi="Arial" w:cs="Arial"/>
          <w:i/>
          <w:sz w:val="20"/>
          <w:szCs w:val="20"/>
          <w:lang w:val="en-US"/>
        </w:rPr>
      </w:pPr>
      <w:r w:rsidRPr="00F25598">
        <w:rPr>
          <w:rFonts w:ascii="Arial" w:hAnsi="Arial" w:cs="Arial"/>
          <w:i/>
          <w:sz w:val="20"/>
          <w:szCs w:val="20"/>
          <w:lang w:val="en-US"/>
        </w:rPr>
        <w:t xml:space="preserve">Unit: VND thousand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BE570E" w:rsidRPr="00196B7A" w:rsidTr="00196B7A">
        <w:tc>
          <w:tcPr>
            <w:tcW w:w="6771" w:type="dxa"/>
          </w:tcPr>
          <w:p w:rsidR="00BE570E" w:rsidRPr="00196B7A" w:rsidRDefault="00BE570E" w:rsidP="00196B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 xml:space="preserve">+ Production and business result in 2016 </w:t>
            </w:r>
          </w:p>
        </w:tc>
        <w:tc>
          <w:tcPr>
            <w:tcW w:w="2471" w:type="dxa"/>
          </w:tcPr>
          <w:p w:rsidR="00BE570E" w:rsidRPr="00196B7A" w:rsidRDefault="00BE570E" w:rsidP="00196B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422E" w:rsidRPr="00196B7A" w:rsidTr="00196B7A">
        <w:tc>
          <w:tcPr>
            <w:tcW w:w="6771" w:type="dxa"/>
          </w:tcPr>
          <w:p w:rsidR="004F422E" w:rsidRPr="00196B7A" w:rsidRDefault="004F422E" w:rsidP="00196B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 xml:space="preserve">- Net revenue from goods and services </w:t>
            </w:r>
          </w:p>
        </w:tc>
        <w:tc>
          <w:tcPr>
            <w:tcW w:w="2471" w:type="dxa"/>
          </w:tcPr>
          <w:p w:rsidR="004F422E" w:rsidRPr="00196B7A" w:rsidRDefault="004F422E" w:rsidP="00196B7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>120,928,261</w:t>
            </w:r>
          </w:p>
        </w:tc>
      </w:tr>
      <w:tr w:rsidR="004F422E" w:rsidRPr="00196B7A" w:rsidTr="00196B7A">
        <w:tc>
          <w:tcPr>
            <w:tcW w:w="6771" w:type="dxa"/>
          </w:tcPr>
          <w:p w:rsidR="004F422E" w:rsidRPr="00196B7A" w:rsidRDefault="004F422E" w:rsidP="00196B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 xml:space="preserve">- Profit before tax </w:t>
            </w:r>
          </w:p>
        </w:tc>
        <w:tc>
          <w:tcPr>
            <w:tcW w:w="2471" w:type="dxa"/>
          </w:tcPr>
          <w:p w:rsidR="004F422E" w:rsidRPr="00196B7A" w:rsidRDefault="004F422E" w:rsidP="00196B7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>5,728,315</w:t>
            </w:r>
          </w:p>
        </w:tc>
      </w:tr>
      <w:tr w:rsidR="004F422E" w:rsidRPr="00196B7A" w:rsidTr="00196B7A">
        <w:tc>
          <w:tcPr>
            <w:tcW w:w="6771" w:type="dxa"/>
          </w:tcPr>
          <w:p w:rsidR="004F422E" w:rsidRPr="00196B7A" w:rsidRDefault="004F422E" w:rsidP="00196B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 xml:space="preserve">- Profit after tax </w:t>
            </w:r>
          </w:p>
        </w:tc>
        <w:tc>
          <w:tcPr>
            <w:tcW w:w="2471" w:type="dxa"/>
          </w:tcPr>
          <w:p w:rsidR="004F422E" w:rsidRPr="00196B7A" w:rsidRDefault="004F422E" w:rsidP="00196B7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>2,146,832</w:t>
            </w:r>
          </w:p>
        </w:tc>
      </w:tr>
      <w:tr w:rsidR="004F422E" w:rsidRPr="00196B7A" w:rsidTr="00196B7A">
        <w:tc>
          <w:tcPr>
            <w:tcW w:w="6771" w:type="dxa"/>
          </w:tcPr>
          <w:p w:rsidR="004F422E" w:rsidRPr="00196B7A" w:rsidRDefault="004F422E" w:rsidP="00196B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 xml:space="preserve">+ Production and business plan in 2017: </w:t>
            </w:r>
          </w:p>
        </w:tc>
        <w:tc>
          <w:tcPr>
            <w:tcW w:w="2471" w:type="dxa"/>
          </w:tcPr>
          <w:p w:rsidR="004F422E" w:rsidRPr="00196B7A" w:rsidRDefault="004F422E" w:rsidP="00196B7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422E" w:rsidRPr="00196B7A" w:rsidTr="00196B7A">
        <w:tc>
          <w:tcPr>
            <w:tcW w:w="6771" w:type="dxa"/>
          </w:tcPr>
          <w:p w:rsidR="004F422E" w:rsidRPr="00196B7A" w:rsidRDefault="004F422E" w:rsidP="00196B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 xml:space="preserve">- Net revenue from goods and services </w:t>
            </w:r>
          </w:p>
        </w:tc>
        <w:tc>
          <w:tcPr>
            <w:tcW w:w="2471" w:type="dxa"/>
          </w:tcPr>
          <w:p w:rsidR="004F422E" w:rsidRPr="00196B7A" w:rsidRDefault="004F422E" w:rsidP="00196B7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>119,833,017</w:t>
            </w:r>
          </w:p>
        </w:tc>
      </w:tr>
      <w:tr w:rsidR="004F422E" w:rsidRPr="00196B7A" w:rsidTr="00196B7A">
        <w:tc>
          <w:tcPr>
            <w:tcW w:w="6771" w:type="dxa"/>
          </w:tcPr>
          <w:p w:rsidR="004F422E" w:rsidRPr="00196B7A" w:rsidRDefault="004F422E" w:rsidP="00196B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 xml:space="preserve">- Profit before tax </w:t>
            </w:r>
          </w:p>
        </w:tc>
        <w:tc>
          <w:tcPr>
            <w:tcW w:w="2471" w:type="dxa"/>
          </w:tcPr>
          <w:p w:rsidR="004F422E" w:rsidRPr="00196B7A" w:rsidRDefault="004F422E" w:rsidP="00196B7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>8,464,694</w:t>
            </w:r>
          </w:p>
        </w:tc>
      </w:tr>
      <w:tr w:rsidR="004F422E" w:rsidRPr="00196B7A" w:rsidTr="00196B7A">
        <w:tc>
          <w:tcPr>
            <w:tcW w:w="6771" w:type="dxa"/>
          </w:tcPr>
          <w:p w:rsidR="004F422E" w:rsidRPr="00196B7A" w:rsidRDefault="004F422E" w:rsidP="00196B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 xml:space="preserve">- Profit after tax </w:t>
            </w:r>
          </w:p>
        </w:tc>
        <w:tc>
          <w:tcPr>
            <w:tcW w:w="2471" w:type="dxa"/>
          </w:tcPr>
          <w:p w:rsidR="004F422E" w:rsidRPr="00196B7A" w:rsidRDefault="004F422E" w:rsidP="00196B7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7A">
              <w:rPr>
                <w:rFonts w:ascii="Arial" w:hAnsi="Arial" w:cs="Arial"/>
                <w:sz w:val="20"/>
                <w:szCs w:val="20"/>
                <w:lang w:val="en-US"/>
              </w:rPr>
              <w:t>6,741,629</w:t>
            </w:r>
          </w:p>
        </w:tc>
      </w:tr>
    </w:tbl>
    <w:p w:rsidR="004F422E" w:rsidRPr="005121A4" w:rsidRDefault="004F422E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(White sand: 190,000 tons, </w:t>
      </w:r>
      <w:r w:rsidR="003C4D77" w:rsidRPr="005121A4">
        <w:rPr>
          <w:rFonts w:ascii="Arial" w:hAnsi="Arial" w:cs="Arial"/>
          <w:sz w:val="20"/>
          <w:szCs w:val="20"/>
          <w:lang w:val="en-US"/>
        </w:rPr>
        <w:t xml:space="preserve">Feldspar: 120,000 tons, silica powder: 3,000 tons, glass cloth: 560 tons). </w:t>
      </w:r>
    </w:p>
    <w:p w:rsidR="00E80DB6" w:rsidRPr="005121A4" w:rsidRDefault="002A6792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44FF5">
        <w:rPr>
          <w:rFonts w:ascii="Arial" w:hAnsi="Arial" w:cs="Arial"/>
          <w:b/>
          <w:sz w:val="20"/>
          <w:szCs w:val="20"/>
          <w:lang w:val="en-US"/>
        </w:rPr>
        <w:t>Article 3</w:t>
      </w:r>
      <w:r w:rsidR="00E80DB6" w:rsidRPr="00B44FF5">
        <w:rPr>
          <w:rFonts w:ascii="Arial" w:hAnsi="Arial" w:cs="Arial"/>
          <w:b/>
          <w:sz w:val="20"/>
          <w:szCs w:val="20"/>
          <w:lang w:val="en-US"/>
        </w:rPr>
        <w:t>.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To approve report on operations of Board of Directors in </w:t>
      </w:r>
      <w:r w:rsidR="00E80DB6" w:rsidRPr="005121A4">
        <w:rPr>
          <w:rFonts w:ascii="Arial" w:hAnsi="Arial" w:cs="Arial"/>
          <w:sz w:val="20"/>
          <w:szCs w:val="20"/>
          <w:lang w:val="en-US"/>
        </w:rPr>
        <w:t xml:space="preserve">2016 and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operation</w:t>
      </w:r>
      <w:r w:rsidR="00E80DB6" w:rsidRPr="005121A4">
        <w:rPr>
          <w:rFonts w:ascii="Arial" w:hAnsi="Arial" w:cs="Arial"/>
          <w:sz w:val="20"/>
          <w:szCs w:val="20"/>
          <w:lang w:val="en-US"/>
        </w:rPr>
        <w:t xml:space="preserve">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orientation</w:t>
      </w:r>
      <w:r w:rsidR="00E80DB6" w:rsidRPr="005121A4">
        <w:rPr>
          <w:rFonts w:ascii="Arial" w:hAnsi="Arial" w:cs="Arial"/>
          <w:sz w:val="20"/>
          <w:szCs w:val="20"/>
          <w:lang w:val="en-US"/>
        </w:rPr>
        <w:t xml:space="preserve"> in 2017 with the votes of approval of </w:t>
      </w:r>
      <w:r w:rsidR="00E12A16" w:rsidRPr="005121A4">
        <w:rPr>
          <w:rFonts w:ascii="Arial" w:hAnsi="Arial" w:cs="Arial"/>
          <w:sz w:val="20"/>
          <w:szCs w:val="20"/>
          <w:lang w:val="en-US"/>
        </w:rPr>
        <w:t>99.78</w:t>
      </w:r>
      <w:r w:rsidR="00E80DB6" w:rsidRPr="005121A4">
        <w:rPr>
          <w:rFonts w:ascii="Arial" w:hAnsi="Arial" w:cs="Arial"/>
          <w:sz w:val="20"/>
          <w:szCs w:val="20"/>
          <w:lang w:val="en-US"/>
        </w:rPr>
        <w:t xml:space="preserve">% of total shares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attending</w:t>
      </w:r>
      <w:r w:rsidR="00E80DB6" w:rsidRPr="005121A4">
        <w:rPr>
          <w:rFonts w:ascii="Arial" w:hAnsi="Arial" w:cs="Arial"/>
          <w:sz w:val="20"/>
          <w:szCs w:val="20"/>
          <w:lang w:val="en-US"/>
        </w:rPr>
        <w:t xml:space="preserve"> the meeting. </w:t>
      </w:r>
    </w:p>
    <w:p w:rsidR="00E12A16" w:rsidRPr="005121A4" w:rsidRDefault="00E12A16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44FF5">
        <w:rPr>
          <w:rFonts w:ascii="Arial" w:hAnsi="Arial" w:cs="Arial"/>
          <w:b/>
          <w:sz w:val="20"/>
          <w:szCs w:val="20"/>
          <w:lang w:val="en-US"/>
        </w:rPr>
        <w:t>Article 4.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To approve supervision report of the company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in 2016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of Board of Supervisors with the votes of approval of 99.78% of total shares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attending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the meeting. </w:t>
      </w:r>
    </w:p>
    <w:p w:rsidR="00E12A16" w:rsidRPr="005121A4" w:rsidRDefault="00E12A16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44FF5">
        <w:rPr>
          <w:rFonts w:ascii="Arial" w:hAnsi="Arial" w:cs="Arial"/>
          <w:b/>
          <w:sz w:val="20"/>
          <w:szCs w:val="20"/>
          <w:lang w:val="en-US"/>
        </w:rPr>
        <w:t>Article 5.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To agree to assign Board of Directors of the company to select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auditing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company for the 2017 financial statements with the votes of approval of 91.80% of total shares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attending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the meeting. </w:t>
      </w:r>
    </w:p>
    <w:p w:rsidR="00F968DC" w:rsidRPr="005121A4" w:rsidRDefault="001C24CB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44FF5">
        <w:rPr>
          <w:rFonts w:ascii="Arial" w:hAnsi="Arial" w:cs="Arial"/>
          <w:b/>
          <w:sz w:val="20"/>
          <w:szCs w:val="20"/>
          <w:lang w:val="en-US"/>
        </w:rPr>
        <w:t>Article 6.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To approve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remuneration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(</w:t>
      </w:r>
      <w:r w:rsidR="003846DA" w:rsidRPr="005121A4">
        <w:rPr>
          <w:rFonts w:ascii="Arial" w:hAnsi="Arial" w:cs="Arial"/>
          <w:sz w:val="20"/>
          <w:szCs w:val="20"/>
          <w:lang w:val="en-US"/>
        </w:rPr>
        <w:t>including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remuneration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for the time of meeting,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document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study, text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editing and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communication</w:t>
      </w:r>
      <w:r w:rsidR="00C838F3" w:rsidRPr="005121A4">
        <w:rPr>
          <w:rFonts w:ascii="Arial" w:hAnsi="Arial" w:cs="Arial"/>
          <w:sz w:val="20"/>
          <w:szCs w:val="20"/>
          <w:lang w:val="en-US"/>
        </w:rPr>
        <w:t xml:space="preserve"> expenses) and operation expenses in </w:t>
      </w:r>
      <w:r w:rsidR="00E52770" w:rsidRPr="005121A4">
        <w:rPr>
          <w:rFonts w:ascii="Arial" w:hAnsi="Arial" w:cs="Arial"/>
          <w:sz w:val="20"/>
          <w:szCs w:val="20"/>
          <w:lang w:val="en-US"/>
        </w:rPr>
        <w:t xml:space="preserve">2017 of Board of Directors and Board of Supervisors as follows: </w:t>
      </w:r>
    </w:p>
    <w:p w:rsidR="00F968DC" w:rsidRPr="00B44FF5" w:rsidRDefault="00F968DC" w:rsidP="005121A4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B44FF5">
        <w:rPr>
          <w:rFonts w:ascii="Arial" w:hAnsi="Arial" w:cs="Arial"/>
          <w:i/>
          <w:sz w:val="20"/>
          <w:szCs w:val="20"/>
          <w:lang w:val="en-US"/>
        </w:rPr>
        <w:t>+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</w:t>
      </w:r>
      <w:r w:rsidRPr="00B44FF5">
        <w:rPr>
          <w:rFonts w:ascii="Arial" w:hAnsi="Arial" w:cs="Arial"/>
          <w:i/>
          <w:sz w:val="20"/>
          <w:szCs w:val="20"/>
          <w:lang w:val="en-US"/>
        </w:rPr>
        <w:t xml:space="preserve">Board of Directors in the term 2013 – 2018: </w:t>
      </w:r>
    </w:p>
    <w:p w:rsidR="00F968DC" w:rsidRPr="005121A4" w:rsidRDefault="00F968DC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- Chairman of Board of Directors: </w:t>
      </w:r>
      <w:r w:rsidR="00393205">
        <w:rPr>
          <w:rFonts w:ascii="Arial" w:hAnsi="Arial" w:cs="Arial"/>
          <w:sz w:val="20"/>
          <w:szCs w:val="20"/>
          <w:lang w:val="en-US"/>
        </w:rPr>
        <w:tab/>
      </w:r>
      <w:r w:rsidR="00393205">
        <w:rPr>
          <w:rFonts w:ascii="Arial" w:hAnsi="Arial" w:cs="Arial"/>
          <w:sz w:val="20"/>
          <w:szCs w:val="20"/>
          <w:lang w:val="en-US"/>
        </w:rPr>
        <w:tab/>
        <w:t xml:space="preserve">VND 4,000,000/ month </w:t>
      </w:r>
    </w:p>
    <w:p w:rsidR="00F968DC" w:rsidRPr="005121A4" w:rsidRDefault="00F968DC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- Members of Board of Directors: </w:t>
      </w:r>
      <w:r w:rsidR="00393205">
        <w:rPr>
          <w:rFonts w:ascii="Arial" w:hAnsi="Arial" w:cs="Arial"/>
          <w:sz w:val="20"/>
          <w:szCs w:val="20"/>
          <w:lang w:val="en-US"/>
        </w:rPr>
        <w:tab/>
      </w:r>
      <w:r w:rsidR="00393205">
        <w:rPr>
          <w:rFonts w:ascii="Arial" w:hAnsi="Arial" w:cs="Arial"/>
          <w:sz w:val="20"/>
          <w:szCs w:val="20"/>
          <w:lang w:val="en-US"/>
        </w:rPr>
        <w:tab/>
        <w:t xml:space="preserve">VND 2,000,000/ month </w:t>
      </w:r>
    </w:p>
    <w:p w:rsidR="00F968DC" w:rsidRPr="005121A4" w:rsidRDefault="00F968DC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- Secretary: </w:t>
      </w:r>
      <w:r w:rsidR="00393205">
        <w:rPr>
          <w:rFonts w:ascii="Arial" w:hAnsi="Arial" w:cs="Arial"/>
          <w:sz w:val="20"/>
          <w:szCs w:val="20"/>
          <w:lang w:val="en-US"/>
        </w:rPr>
        <w:tab/>
      </w:r>
      <w:r w:rsidR="00393205">
        <w:rPr>
          <w:rFonts w:ascii="Arial" w:hAnsi="Arial" w:cs="Arial"/>
          <w:sz w:val="20"/>
          <w:szCs w:val="20"/>
          <w:lang w:val="en-US"/>
        </w:rPr>
        <w:tab/>
      </w:r>
      <w:r w:rsidR="00393205">
        <w:rPr>
          <w:rFonts w:ascii="Arial" w:hAnsi="Arial" w:cs="Arial"/>
          <w:sz w:val="20"/>
          <w:szCs w:val="20"/>
          <w:lang w:val="en-US"/>
        </w:rPr>
        <w:tab/>
      </w:r>
      <w:r w:rsidR="00393205">
        <w:rPr>
          <w:rFonts w:ascii="Arial" w:hAnsi="Arial" w:cs="Arial"/>
          <w:sz w:val="20"/>
          <w:szCs w:val="20"/>
          <w:lang w:val="en-US"/>
        </w:rPr>
        <w:tab/>
      </w:r>
      <w:r w:rsidR="00393205">
        <w:rPr>
          <w:rFonts w:ascii="Arial" w:hAnsi="Arial" w:cs="Arial"/>
          <w:sz w:val="20"/>
          <w:szCs w:val="20"/>
          <w:lang w:val="en-US"/>
        </w:rPr>
        <w:tab/>
        <w:t xml:space="preserve">VND 2,000,000/ month </w:t>
      </w:r>
    </w:p>
    <w:p w:rsidR="000D3950" w:rsidRPr="005121A4" w:rsidRDefault="00F968DC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- To approve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operation</w:t>
      </w:r>
      <w:r w:rsidR="00A4024A" w:rsidRPr="005121A4">
        <w:rPr>
          <w:rFonts w:ascii="Arial" w:hAnsi="Arial" w:cs="Arial"/>
          <w:sz w:val="20"/>
          <w:szCs w:val="20"/>
          <w:lang w:val="en-US"/>
        </w:rPr>
        <w:t xml:space="preserve"> expenses (excluding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remuneration</w:t>
      </w:r>
      <w:r w:rsidR="00A4024A" w:rsidRPr="005121A4">
        <w:rPr>
          <w:rFonts w:ascii="Arial" w:hAnsi="Arial" w:cs="Arial"/>
          <w:sz w:val="20"/>
          <w:szCs w:val="20"/>
          <w:lang w:val="en-US"/>
        </w:rPr>
        <w:t xml:space="preserve">) estimated to be paid to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activities</w:t>
      </w:r>
      <w:r w:rsidR="00A4024A" w:rsidRPr="005121A4">
        <w:rPr>
          <w:rFonts w:ascii="Arial" w:hAnsi="Arial" w:cs="Arial"/>
          <w:sz w:val="20"/>
          <w:szCs w:val="20"/>
          <w:lang w:val="en-US"/>
        </w:rPr>
        <w:t xml:space="preserve"> of Board of Directors in 2017 with an amount of VND 200,000,000 (two hundred Vietnam dong) </w:t>
      </w:r>
    </w:p>
    <w:p w:rsidR="00DB334A" w:rsidRPr="00924798" w:rsidRDefault="000D3950" w:rsidP="005121A4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924798">
        <w:rPr>
          <w:rFonts w:ascii="Arial" w:hAnsi="Arial" w:cs="Arial"/>
          <w:i/>
          <w:sz w:val="20"/>
          <w:szCs w:val="20"/>
          <w:lang w:val="en-US"/>
        </w:rPr>
        <w:t xml:space="preserve">+ </w:t>
      </w:r>
      <w:r w:rsidR="003846DA" w:rsidRPr="00924798">
        <w:rPr>
          <w:rFonts w:ascii="Arial" w:hAnsi="Arial" w:cs="Arial"/>
          <w:i/>
          <w:sz w:val="20"/>
          <w:szCs w:val="20"/>
          <w:lang w:val="en-US"/>
        </w:rPr>
        <w:t>Members</w:t>
      </w:r>
      <w:r w:rsidRPr="00924798">
        <w:rPr>
          <w:rFonts w:ascii="Arial" w:hAnsi="Arial" w:cs="Arial"/>
          <w:i/>
          <w:sz w:val="20"/>
          <w:szCs w:val="20"/>
          <w:lang w:val="en-US"/>
        </w:rPr>
        <w:t xml:space="preserve"> of Board of Supervisors in the term </w:t>
      </w:r>
      <w:r w:rsidR="006E4407" w:rsidRPr="00924798">
        <w:rPr>
          <w:rFonts w:ascii="Arial" w:hAnsi="Arial" w:cs="Arial"/>
          <w:i/>
          <w:sz w:val="20"/>
          <w:szCs w:val="20"/>
          <w:lang w:val="en-US"/>
        </w:rPr>
        <w:t xml:space="preserve">2013 – 2018: </w:t>
      </w:r>
    </w:p>
    <w:p w:rsidR="00DB334A" w:rsidRPr="005121A4" w:rsidRDefault="00DB334A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- Chief of Board of Supervisors: </w:t>
      </w:r>
      <w:r w:rsidR="00F155BA">
        <w:rPr>
          <w:rFonts w:ascii="Arial" w:hAnsi="Arial" w:cs="Arial"/>
          <w:sz w:val="20"/>
          <w:szCs w:val="20"/>
          <w:lang w:val="en-US"/>
        </w:rPr>
        <w:tab/>
      </w:r>
      <w:r w:rsidR="00F155BA">
        <w:rPr>
          <w:rFonts w:ascii="Arial" w:hAnsi="Arial" w:cs="Arial"/>
          <w:sz w:val="20"/>
          <w:szCs w:val="20"/>
          <w:lang w:val="en-US"/>
        </w:rPr>
        <w:tab/>
      </w:r>
      <w:r w:rsidR="00F155BA">
        <w:rPr>
          <w:rFonts w:ascii="Arial" w:hAnsi="Arial" w:cs="Arial"/>
          <w:sz w:val="20"/>
          <w:szCs w:val="20"/>
          <w:lang w:val="en-US"/>
        </w:rPr>
        <w:tab/>
        <w:t xml:space="preserve">VND 2,000,000/ month </w:t>
      </w:r>
    </w:p>
    <w:p w:rsidR="00DB334A" w:rsidRPr="005121A4" w:rsidRDefault="00DB334A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-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Members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of Board of Supervisors: </w:t>
      </w:r>
      <w:r w:rsidR="00F155BA">
        <w:rPr>
          <w:rFonts w:ascii="Arial" w:hAnsi="Arial" w:cs="Arial"/>
          <w:sz w:val="20"/>
          <w:szCs w:val="20"/>
          <w:lang w:val="en-US"/>
        </w:rPr>
        <w:tab/>
      </w:r>
      <w:r w:rsidR="00F155BA">
        <w:rPr>
          <w:rFonts w:ascii="Arial" w:hAnsi="Arial" w:cs="Arial"/>
          <w:sz w:val="20"/>
          <w:szCs w:val="20"/>
          <w:lang w:val="en-US"/>
        </w:rPr>
        <w:tab/>
        <w:t xml:space="preserve">VND 1,600,000/ month </w:t>
      </w:r>
    </w:p>
    <w:p w:rsidR="002A6792" w:rsidRPr="005121A4" w:rsidRDefault="00DB334A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- To approve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operation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expenses (excluding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remuneration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) estimated to be paid to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activities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of Board of Supervisors in 2017 with an amount of VND </w:t>
      </w:r>
      <w:r w:rsidR="00DC13AE" w:rsidRPr="005121A4">
        <w:rPr>
          <w:rFonts w:ascii="Arial" w:hAnsi="Arial" w:cs="Arial"/>
          <w:sz w:val="20"/>
          <w:szCs w:val="20"/>
          <w:lang w:val="en-US"/>
        </w:rPr>
        <w:t>40</w:t>
      </w:r>
      <w:r w:rsidRPr="005121A4">
        <w:rPr>
          <w:rFonts w:ascii="Arial" w:hAnsi="Arial" w:cs="Arial"/>
          <w:sz w:val="20"/>
          <w:szCs w:val="20"/>
          <w:lang w:val="en-US"/>
        </w:rPr>
        <w:t>,000,000 (</w:t>
      </w:r>
      <w:r w:rsidR="003846DA" w:rsidRPr="005121A4">
        <w:rPr>
          <w:rFonts w:ascii="Arial" w:hAnsi="Arial" w:cs="Arial"/>
          <w:sz w:val="20"/>
          <w:szCs w:val="20"/>
          <w:lang w:val="en-US"/>
        </w:rPr>
        <w:t>forty</w:t>
      </w:r>
      <w:r w:rsidR="00BF47B4" w:rsidRPr="005121A4">
        <w:rPr>
          <w:rFonts w:ascii="Arial" w:hAnsi="Arial" w:cs="Arial"/>
          <w:sz w:val="20"/>
          <w:szCs w:val="20"/>
          <w:lang w:val="en-US"/>
        </w:rPr>
        <w:t xml:space="preserve"> thousand </w:t>
      </w:r>
      <w:r w:rsidRPr="005121A4">
        <w:rPr>
          <w:rFonts w:ascii="Arial" w:hAnsi="Arial" w:cs="Arial"/>
          <w:sz w:val="20"/>
          <w:szCs w:val="20"/>
          <w:lang w:val="en-US"/>
        </w:rPr>
        <w:t>Vietnam dong</w:t>
      </w:r>
      <w:r w:rsidR="00BF47B4" w:rsidRPr="005121A4">
        <w:rPr>
          <w:rFonts w:ascii="Arial" w:hAnsi="Arial" w:cs="Arial"/>
          <w:sz w:val="20"/>
          <w:szCs w:val="20"/>
          <w:lang w:val="en-US"/>
        </w:rPr>
        <w:t>).</w:t>
      </w:r>
      <w:r w:rsidR="00C6284C" w:rsidRPr="005121A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6284C" w:rsidRPr="005121A4" w:rsidRDefault="003846DA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>Votes of approval were</w:t>
      </w:r>
      <w:r w:rsidR="00C6284C" w:rsidRPr="005121A4">
        <w:rPr>
          <w:rFonts w:ascii="Arial" w:hAnsi="Arial" w:cs="Arial"/>
          <w:sz w:val="20"/>
          <w:szCs w:val="20"/>
          <w:lang w:val="en-US"/>
        </w:rPr>
        <w:t xml:space="preserve"> 99.78% of total shares attending the meeting. </w:t>
      </w:r>
    </w:p>
    <w:p w:rsidR="00D86CE1" w:rsidRPr="005121A4" w:rsidRDefault="00D86CE1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7149C0">
        <w:rPr>
          <w:rFonts w:ascii="Arial" w:hAnsi="Arial" w:cs="Arial"/>
          <w:b/>
          <w:sz w:val="20"/>
          <w:szCs w:val="20"/>
          <w:lang w:val="en-US"/>
        </w:rPr>
        <w:lastRenderedPageBreak/>
        <w:t>Article 7.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To approve 2016 audited financial statements with the votes of approval of 99.78% of total shares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attending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the meeting. </w:t>
      </w:r>
    </w:p>
    <w:p w:rsidR="00D86CE1" w:rsidRPr="005121A4" w:rsidRDefault="00D86CE1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7149C0">
        <w:rPr>
          <w:rFonts w:ascii="Arial" w:hAnsi="Arial" w:cs="Arial"/>
          <w:b/>
          <w:sz w:val="20"/>
          <w:szCs w:val="20"/>
          <w:lang w:val="en-US"/>
        </w:rPr>
        <w:t>Article 8.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To approve the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Submission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on profit distribution in 2016 with the votes of approval of 99.78% of total shares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attending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the meeting.</w:t>
      </w:r>
    </w:p>
    <w:p w:rsidR="00D86CE1" w:rsidRPr="005121A4" w:rsidRDefault="00D86CE1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7149C0">
        <w:rPr>
          <w:rFonts w:ascii="Arial" w:hAnsi="Arial" w:cs="Arial"/>
          <w:b/>
          <w:sz w:val="20"/>
          <w:szCs w:val="20"/>
          <w:lang w:val="en-US"/>
        </w:rPr>
        <w:t>Article 9.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To agree with the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recommendations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in report on divestment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implementation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in </w:t>
      </w:r>
      <w:r w:rsidR="00E9299B" w:rsidRPr="005121A4">
        <w:rPr>
          <w:rFonts w:ascii="Arial" w:hAnsi="Arial" w:cs="Arial"/>
          <w:sz w:val="20"/>
          <w:szCs w:val="20"/>
          <w:lang w:val="en-US"/>
        </w:rPr>
        <w:t xml:space="preserve">Phuoc Son Gold Co., Ltd and Bong Mieu Gold Mining Co. Ltd. The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votes of approval were</w:t>
      </w:r>
      <w:r w:rsidR="00E9299B" w:rsidRPr="005121A4">
        <w:rPr>
          <w:rFonts w:ascii="Arial" w:hAnsi="Arial" w:cs="Arial"/>
          <w:sz w:val="20"/>
          <w:szCs w:val="20"/>
          <w:lang w:val="en-US"/>
        </w:rPr>
        <w:t xml:space="preserve"> 85.91% of total shares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attending</w:t>
      </w:r>
      <w:r w:rsidR="00E9299B" w:rsidRPr="005121A4">
        <w:rPr>
          <w:rFonts w:ascii="Arial" w:hAnsi="Arial" w:cs="Arial"/>
          <w:sz w:val="20"/>
          <w:szCs w:val="20"/>
          <w:lang w:val="en-US"/>
        </w:rPr>
        <w:t xml:space="preserve"> the meeting</w:t>
      </w:r>
      <w:r w:rsidR="006B4955" w:rsidRPr="005121A4">
        <w:rPr>
          <w:rFonts w:ascii="Arial" w:hAnsi="Arial" w:cs="Arial"/>
          <w:sz w:val="20"/>
          <w:szCs w:val="20"/>
          <w:lang w:val="en-US"/>
        </w:rPr>
        <w:t>.</w:t>
      </w:r>
    </w:p>
    <w:p w:rsidR="00704165" w:rsidRPr="007149C0" w:rsidRDefault="00704165" w:rsidP="005121A4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7149C0">
        <w:rPr>
          <w:rFonts w:ascii="Arial" w:hAnsi="Arial" w:cs="Arial"/>
          <w:b/>
          <w:sz w:val="20"/>
          <w:szCs w:val="20"/>
          <w:lang w:val="en-US"/>
        </w:rPr>
        <w:t xml:space="preserve">Article 10. Responsibility to </w:t>
      </w:r>
      <w:r w:rsidR="003846DA" w:rsidRPr="007149C0">
        <w:rPr>
          <w:rFonts w:ascii="Arial" w:hAnsi="Arial" w:cs="Arial"/>
          <w:b/>
          <w:sz w:val="20"/>
          <w:szCs w:val="20"/>
          <w:lang w:val="en-US"/>
        </w:rPr>
        <w:t>implement</w:t>
      </w:r>
      <w:r w:rsidRPr="007149C0">
        <w:rPr>
          <w:rFonts w:ascii="Arial" w:hAnsi="Arial" w:cs="Arial"/>
          <w:b/>
          <w:sz w:val="20"/>
          <w:szCs w:val="20"/>
          <w:lang w:val="en-US"/>
        </w:rPr>
        <w:t xml:space="preserve"> the resolution: </w:t>
      </w:r>
    </w:p>
    <w:p w:rsidR="00704165" w:rsidRPr="005121A4" w:rsidRDefault="00704165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1. General Meeting of Shareholders agreed to assign Board of Directors, General Director of the company and related persons to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implement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the provisions </w:t>
      </w:r>
      <w:r w:rsidR="003846DA" w:rsidRPr="005121A4">
        <w:rPr>
          <w:rFonts w:ascii="Arial" w:hAnsi="Arial" w:cs="Arial"/>
          <w:sz w:val="20"/>
          <w:szCs w:val="20"/>
          <w:lang w:val="en-US"/>
        </w:rPr>
        <w:t>specified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in this resolution. </w:t>
      </w:r>
    </w:p>
    <w:p w:rsidR="00405F48" w:rsidRPr="005121A4" w:rsidRDefault="00405F48" w:rsidP="005121A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121A4">
        <w:rPr>
          <w:rFonts w:ascii="Arial" w:hAnsi="Arial" w:cs="Arial"/>
          <w:sz w:val="20"/>
          <w:szCs w:val="20"/>
          <w:lang w:val="en-US"/>
        </w:rPr>
        <w:t xml:space="preserve">2. This resolution was </w:t>
      </w:r>
      <w:r w:rsidR="00A90E17" w:rsidRPr="005121A4">
        <w:rPr>
          <w:rFonts w:ascii="Arial" w:hAnsi="Arial" w:cs="Arial"/>
          <w:sz w:val="20"/>
          <w:szCs w:val="20"/>
          <w:lang w:val="en-US"/>
        </w:rPr>
        <w:t>approved by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General Meeting of Shareholders for </w:t>
      </w:r>
      <w:r w:rsidR="00A90E17" w:rsidRPr="005121A4">
        <w:rPr>
          <w:rFonts w:ascii="Arial" w:hAnsi="Arial" w:cs="Arial"/>
          <w:sz w:val="20"/>
          <w:szCs w:val="20"/>
          <w:lang w:val="en-US"/>
        </w:rPr>
        <w:t>contents</w:t>
      </w:r>
      <w:r w:rsidRPr="005121A4">
        <w:rPr>
          <w:rFonts w:ascii="Arial" w:hAnsi="Arial" w:cs="Arial"/>
          <w:sz w:val="20"/>
          <w:szCs w:val="20"/>
          <w:lang w:val="en-US"/>
        </w:rPr>
        <w:t xml:space="preserve"> and took effect from April 27, 2017</w:t>
      </w:r>
      <w:r w:rsidR="00AE58AC" w:rsidRPr="005121A4"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405F48" w:rsidRPr="005121A4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DC"/>
    <w:rsid w:val="000A35D5"/>
    <w:rsid w:val="000D3950"/>
    <w:rsid w:val="0015742A"/>
    <w:rsid w:val="00196B7A"/>
    <w:rsid w:val="001C24CB"/>
    <w:rsid w:val="001E1C5B"/>
    <w:rsid w:val="002A2F3D"/>
    <w:rsid w:val="002A6792"/>
    <w:rsid w:val="003846DA"/>
    <w:rsid w:val="00393205"/>
    <w:rsid w:val="003C4D77"/>
    <w:rsid w:val="00405F48"/>
    <w:rsid w:val="0047204C"/>
    <w:rsid w:val="004A4E39"/>
    <w:rsid w:val="004F422E"/>
    <w:rsid w:val="005121A4"/>
    <w:rsid w:val="006009D1"/>
    <w:rsid w:val="00675DC8"/>
    <w:rsid w:val="006B4955"/>
    <w:rsid w:val="006E4407"/>
    <w:rsid w:val="00704165"/>
    <w:rsid w:val="007149C0"/>
    <w:rsid w:val="00771A1B"/>
    <w:rsid w:val="008801E7"/>
    <w:rsid w:val="00886BDC"/>
    <w:rsid w:val="008A6186"/>
    <w:rsid w:val="00924798"/>
    <w:rsid w:val="00A4024A"/>
    <w:rsid w:val="00A90E17"/>
    <w:rsid w:val="00AC7967"/>
    <w:rsid w:val="00AE58AC"/>
    <w:rsid w:val="00B44FF5"/>
    <w:rsid w:val="00BE570E"/>
    <w:rsid w:val="00BF47B4"/>
    <w:rsid w:val="00C6284C"/>
    <w:rsid w:val="00C838F3"/>
    <w:rsid w:val="00CE390D"/>
    <w:rsid w:val="00D86CE1"/>
    <w:rsid w:val="00DB334A"/>
    <w:rsid w:val="00DC13AE"/>
    <w:rsid w:val="00E12A16"/>
    <w:rsid w:val="00E52770"/>
    <w:rsid w:val="00E80DB6"/>
    <w:rsid w:val="00E9299B"/>
    <w:rsid w:val="00F155BA"/>
    <w:rsid w:val="00F25598"/>
    <w:rsid w:val="00F968DC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E192A-BA12-4C5A-88A9-1C3C8175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7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2017-05-10T08:29:00Z</dcterms:created>
  <dcterms:modified xsi:type="dcterms:W3CDTF">2017-05-10T08:29:00Z</dcterms:modified>
</cp:coreProperties>
</file>